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504"/>
      </w:tblGrid>
      <w:tr w:rsidR="00FD6ACB" w:rsidTr="00FD6ACB">
        <w:trPr>
          <w:trHeight w:val="2310"/>
          <w:jc w:val="center"/>
        </w:trPr>
        <w:tc>
          <w:tcPr>
            <w:tcW w:w="4994" w:type="pct"/>
            <w:hideMark/>
          </w:tcPr>
          <w:p w:rsidR="00FD6ACB" w:rsidRDefault="00FD6ACB">
            <w:pPr>
              <w:pStyle w:val="NormalWeb"/>
            </w:pPr>
            <w:r>
              <w:t> 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 xml:space="preserve">Ante el comunicado informativo de la Comisión Permanente del CGPJ de 20 de marzo 2020 señalando que corresponde a cada juez decidir sobre la modificación del régimen de custodia, visitas y estancias en los procedimientos de familia, procedemos a emitir el siguiente: 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>COMUNICADO CONJUNTO DE JUECES DE LOS PARTIDOS JUDICIALES DE: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 xml:space="preserve">SAN SEBASTIAN: PRIMERA INSTANCIA Nº 3 y 6 Y Nº 1 DE VIOLENCIA SOBRE LA MUJER; TOLOSA nº1, 2, 3 y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4 ;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BERGARA nº 1, 2, 3 y 4 ; EIBAR nº 1 y 2 Y AZPEITIA nº 1 y 2 (NO ESTÁ IRÚN)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>Desde una perspectiva estrictamente delimitada al ámbito de decisión como autoridad judicial, se estima que la recta interpretación del Real Decreto 463/2020, de 14 de marzo de declaración de estado de alarma por el Gobierno de la Nación, impone una orden general de obligado cumplimiento dirigido la población, a la totalidad de la población, incluidos los menores de edad, de confinamiento domiciliario, a modo de cuarentena sanitaria. A partir de esa orden general de confinamiento domiciliario, el legislador en el art. 7.1, excepcionalmente permite circular a los ciudadanos por las vías públicas para la realización de las siguientes actividades: "</w:t>
            </w:r>
            <w:r>
              <w:rPr>
                <w:rStyle w:val="nfasis"/>
                <w:rFonts w:ascii="Verdana" w:hAnsi="Verdana"/>
                <w:sz w:val="28"/>
                <w:szCs w:val="28"/>
              </w:rPr>
              <w:t>e) Asistencia y cuidado a mayores, menores, dependientes, personas con discapacidad o personas especialmente vulnerables</w:t>
            </w:r>
            <w:r>
              <w:rPr>
                <w:rFonts w:ascii="Verdana" w:hAnsi="Verdana"/>
                <w:sz w:val="28"/>
                <w:szCs w:val="28"/>
              </w:rPr>
              <w:t xml:space="preserve">" 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 xml:space="preserve">La declaración de estado de alarma establecida con fecha 14 de marzo de 2020 por el Gobierno supone una situación excepcional de causa mayor que permite, al amparo del Art. 1104 y 1105 C.C la suspensión –temporal- de las disposiciones establecidas judicial por los progenitores respecto del desarrollo de las relaciones parentales estimándose que las medidas </w:t>
            </w:r>
            <w:r>
              <w:rPr>
                <w:rFonts w:ascii="Verdana" w:hAnsi="Verdana"/>
                <w:sz w:val="28"/>
                <w:szCs w:val="28"/>
              </w:rPr>
              <w:lastRenderedPageBreak/>
              <w:t xml:space="preserve">adoptadas por el Gobierno sobre restricción de la libertad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deambulatoria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deben prevalecer en orden a salvaguardar la salud y bienestar de los menores, sus progenitores y terceras personas que con ellos pudieran convivir en particular si son considerados grupos de riesgo.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>Atendiendo a estas circunstancias los progenitores deberán establecer las formas de compatibilizar el régimen de visitas y custodia con esta situación excepcional, arbitrando caso de no poder llevarse a cabo una flexibilización de los sistemas de comunicación con los menores telefónica, o telemática.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>En este sentido se considerará con carácter general, que no se produce por parte de ninguno de los progenitores, un incumplimiento del régimen de guardia y custodia y/o régimen de comunicación y visitas, en su día acordado por resolución judicial sino se cumplen los pronunciamientos de la sentencia judicial.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>Se insiste en todo caso, que este posicionamiento queda estrictamente delimitado al ámbito de decisión y de responsabilidad como autoridad judicial.</w:t>
            </w:r>
          </w:p>
          <w:p w:rsidR="00FD6ACB" w:rsidRDefault="00FD6ACB">
            <w:pPr>
              <w:pStyle w:val="NormalWeb"/>
            </w:pPr>
            <w:r>
              <w:rPr>
                <w:rFonts w:ascii="Verdana" w:hAnsi="Verdana"/>
                <w:sz w:val="28"/>
                <w:szCs w:val="28"/>
              </w:rPr>
              <w:t xml:space="preserve">Finalmente, ello no impide,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que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si los progenitores lo desean, siempre bajo su responsabilidad personal y parental, puedan alcanzar, mientras se mantenga el estado de alarma, otra clase de acuerdos sobre la forma de desarrollo el régimen de relaciones paterno filiales.</w:t>
            </w:r>
          </w:p>
          <w:p w:rsidR="00FD6ACB" w:rsidRDefault="00FD6ACB">
            <w:pPr>
              <w:pStyle w:val="NormalWeb"/>
              <w:jc w:val="center"/>
            </w:pPr>
            <w:r>
              <w:t> </w:t>
            </w:r>
          </w:p>
        </w:tc>
      </w:tr>
    </w:tbl>
    <w:p w:rsidR="00FD6ACB" w:rsidRDefault="00FD6ACB" w:rsidP="00FD6ACB">
      <w:pPr>
        <w:pStyle w:val="NormalWeb"/>
      </w:pPr>
      <w:r>
        <w:lastRenderedPageBreak/>
        <w:t> </w:t>
      </w:r>
    </w:p>
    <w:p w:rsidR="00FD6ACB" w:rsidRDefault="00FD6ACB" w:rsidP="00FD6AC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25.2pt;height:1.5pt" o:hralign="center" o:hrstd="t" o:hr="t" fillcolor="#a0a0a0" stroked="f"/>
        </w:pict>
      </w:r>
    </w:p>
    <w:p w:rsidR="00FD6ACB" w:rsidRDefault="00FD6ACB" w:rsidP="00FD6ACB">
      <w:pPr>
        <w:pStyle w:val="NormalWeb"/>
      </w:pPr>
      <w:r>
        <w:rPr>
          <w:color w:val="008000"/>
        </w:rPr>
        <w:t>ILUSTRE COLEGIO DE ABOGADOS DE GIPUZKOA</w:t>
      </w:r>
    </w:p>
    <w:p w:rsidR="00FD6ACB" w:rsidRDefault="00FD6ACB" w:rsidP="00FD6ACB">
      <w:pPr>
        <w:pStyle w:val="NormalWeb"/>
      </w:pPr>
      <w:r>
        <w:rPr>
          <w:color w:val="008000"/>
        </w:rPr>
        <w:lastRenderedPageBreak/>
        <w:t>GIPUZKOAKO ABOKATUEN ELKARGO PRESTUA</w:t>
      </w:r>
    </w:p>
    <w:p w:rsidR="00FD6ACB" w:rsidRDefault="00FD6ACB" w:rsidP="00FD6ACB">
      <w:pPr>
        <w:pStyle w:val="NormalWeb"/>
      </w:pPr>
      <w:r>
        <w:rPr>
          <w:color w:val="008000"/>
        </w:rPr>
        <w:t xml:space="preserve">Duque de Mandas, 11, bajo / </w:t>
      </w:r>
      <w:proofErr w:type="spellStart"/>
      <w:r>
        <w:rPr>
          <w:color w:val="008000"/>
        </w:rPr>
        <w:t>Mandasko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Dukea</w:t>
      </w:r>
      <w:proofErr w:type="spellEnd"/>
      <w:r>
        <w:rPr>
          <w:color w:val="008000"/>
        </w:rPr>
        <w:t xml:space="preserve">, 11, </w:t>
      </w:r>
      <w:proofErr w:type="spellStart"/>
      <w:r>
        <w:rPr>
          <w:color w:val="008000"/>
        </w:rPr>
        <w:t>behea</w:t>
      </w:r>
      <w:proofErr w:type="spellEnd"/>
    </w:p>
    <w:p w:rsidR="00FD6ACB" w:rsidRDefault="00FD6ACB" w:rsidP="00FD6ACB">
      <w:pPr>
        <w:pStyle w:val="NormalWeb"/>
      </w:pPr>
      <w:r>
        <w:rPr>
          <w:color w:val="008000"/>
        </w:rPr>
        <w:t>20012 Donostia / San Sebastián</w:t>
      </w:r>
    </w:p>
    <w:p w:rsidR="00FD6ACB" w:rsidRDefault="00FD6ACB" w:rsidP="00FD6ACB">
      <w:pPr>
        <w:pStyle w:val="NormalWeb"/>
      </w:pPr>
      <w:r>
        <w:rPr>
          <w:color w:val="008000"/>
        </w:rPr>
        <w:t>Tel: 943 44 01 18</w:t>
      </w:r>
    </w:p>
    <w:p w:rsidR="00FD6ACB" w:rsidRDefault="00FD6ACB" w:rsidP="00FD6ACB">
      <w:pPr>
        <w:pStyle w:val="NormalWeb"/>
      </w:pPr>
      <w:r>
        <w:rPr>
          <w:color w:val="008000"/>
        </w:rPr>
        <w:t>Fax: 943 42 06 20</w:t>
      </w:r>
    </w:p>
    <w:p w:rsidR="00FD6ACB" w:rsidRPr="00FD6ACB" w:rsidRDefault="00FD6ACB" w:rsidP="00FD6ACB">
      <w:pPr>
        <w:pStyle w:val="NormalWeb"/>
        <w:rPr>
          <w:lang w:val="en-US"/>
        </w:rPr>
      </w:pPr>
      <w:r w:rsidRPr="00FD6ACB">
        <w:rPr>
          <w:color w:val="008000"/>
          <w:lang w:val="en-US"/>
        </w:rPr>
        <w:t xml:space="preserve">email: </w:t>
      </w:r>
      <w:hyperlink r:id="rId4" w:tooltip="blocked::blocked::mailto:secretaria@icagi.net blocked::mailto:secretaria@icagi.net" w:history="1">
        <w:r w:rsidRPr="00FD6ACB">
          <w:rPr>
            <w:rStyle w:val="Hipervnculo"/>
            <w:lang w:val="en-US"/>
          </w:rPr>
          <w:t>secretaria@icagi.net</w:t>
        </w:r>
      </w:hyperlink>
    </w:p>
    <w:p w:rsidR="00FD6ACB" w:rsidRPr="00FD6ACB" w:rsidRDefault="00FD6ACB" w:rsidP="00FD6ACB">
      <w:pPr>
        <w:pStyle w:val="NormalWeb"/>
        <w:rPr>
          <w:lang w:val="en-US"/>
        </w:rPr>
      </w:pPr>
      <w:r w:rsidRPr="00FD6ACB">
        <w:rPr>
          <w:color w:val="008000"/>
          <w:lang w:val="en-US"/>
        </w:rPr>
        <w:t xml:space="preserve">web: </w:t>
      </w:r>
      <w:hyperlink r:id="rId5" w:tooltip="blocked::http://www.icagi.net/" w:history="1">
        <w:r w:rsidRPr="00FD6ACB">
          <w:rPr>
            <w:rStyle w:val="Hipervnculo"/>
            <w:lang w:val="en-US"/>
          </w:rPr>
          <w:t>www.icagi.net</w:t>
        </w:r>
      </w:hyperlink>
    </w:p>
    <w:p w:rsidR="00FD6ACB" w:rsidRPr="00FD6ACB" w:rsidRDefault="00FD6ACB" w:rsidP="00FD6ACB">
      <w:pPr>
        <w:pStyle w:val="NormalWeb"/>
        <w:rPr>
          <w:lang w:val="en-US"/>
        </w:rPr>
      </w:pPr>
      <w:r w:rsidRPr="00FD6ACB">
        <w:rPr>
          <w:color w:val="008000"/>
          <w:lang w:val="en-US"/>
        </w:rPr>
        <w:t> </w:t>
      </w:r>
    </w:p>
    <w:p w:rsidR="00D44B17" w:rsidRPr="00FD6ACB" w:rsidRDefault="00D44B17">
      <w:pPr>
        <w:rPr>
          <w:lang w:val="en-US"/>
        </w:rPr>
      </w:pPr>
      <w:bookmarkStart w:id="0" w:name="_GoBack"/>
      <w:bookmarkEnd w:id="0"/>
    </w:p>
    <w:sectPr w:rsidR="00D44B17" w:rsidRPr="00FD6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CB"/>
    <w:rsid w:val="00D44B17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6AA0-19B9-4610-B8AF-10A98EF8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C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6A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6ACB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FD6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gi.net/" TargetMode="External"/><Relationship Id="rId4" Type="http://schemas.openxmlformats.org/officeDocument/2006/relationships/hyperlink" Target="blocked::mailto:secretaria@icagi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2020-03-23T19:36:00Z</dcterms:created>
  <dcterms:modified xsi:type="dcterms:W3CDTF">2020-03-23T19:36:00Z</dcterms:modified>
</cp:coreProperties>
</file>